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1AC" w:rsidRPr="00DD61AC" w:rsidRDefault="00FB217C" w:rsidP="00DD61AC">
      <w:pPr>
        <w:jc w:val="center"/>
        <w:rPr>
          <w:b/>
          <w:sz w:val="28"/>
          <w:szCs w:val="28"/>
          <w:u w:val="single"/>
        </w:rPr>
      </w:pPr>
      <w:r w:rsidRPr="00FB217C">
        <w:rPr>
          <w:b/>
          <w:sz w:val="28"/>
          <w:szCs w:val="28"/>
          <w:u w:val="single"/>
        </w:rPr>
        <w:t>2011 Australian Defence Force Long Tan Leadership and Teamwork Award</w:t>
      </w:r>
      <w:r w:rsidR="00DD61AC">
        <w:rPr>
          <w:b/>
          <w:sz w:val="28"/>
          <w:szCs w:val="28"/>
          <w:u w:val="single"/>
        </w:rPr>
        <w:t xml:space="preserve"> </w:t>
      </w:r>
      <w:r w:rsidR="00DD61AC" w:rsidRPr="00DD61AC">
        <w:rPr>
          <w:b/>
          <w:sz w:val="28"/>
          <w:szCs w:val="28"/>
          <w:u w:val="single"/>
        </w:rPr>
        <w:t>Application</w:t>
      </w:r>
    </w:p>
    <w:p w:rsidR="00FB217C" w:rsidRDefault="00FB217C">
      <w:r>
        <w:t>This award recognises students who demonstrate leadership and teamwork within both the school and the broader community who displays strong values, such as doing one’s best, respect for others and “mateship”, that are integral to Australian Society.</w:t>
      </w:r>
    </w:p>
    <w:p w:rsidR="00BE6C99" w:rsidRPr="00BE6C99" w:rsidRDefault="00BE6C99" w:rsidP="00BE6C99">
      <w:pPr>
        <w:spacing w:after="0" w:line="240" w:lineRule="auto"/>
      </w:pPr>
      <w:r>
        <w:t xml:space="preserve">Student </w:t>
      </w:r>
      <w:r w:rsidRPr="00BE6C99">
        <w:t>Name: __________________________________</w:t>
      </w:r>
      <w:proofErr w:type="gramStart"/>
      <w:r w:rsidRPr="00BE6C99">
        <w:t>_  Date</w:t>
      </w:r>
      <w:proofErr w:type="gramEnd"/>
      <w:r w:rsidRPr="00BE6C99">
        <w:t>: _________________________</w:t>
      </w:r>
    </w:p>
    <w:p w:rsidR="00BE6C99" w:rsidRDefault="00BE6C99" w:rsidP="00BE6C99">
      <w:pPr>
        <w:spacing w:after="0" w:line="240" w:lineRule="auto"/>
      </w:pPr>
    </w:p>
    <w:p w:rsidR="00BE6C99" w:rsidRDefault="00BE6C99" w:rsidP="00BE6C99">
      <w:pPr>
        <w:spacing w:after="0" w:line="240" w:lineRule="auto"/>
      </w:pPr>
      <w:r w:rsidRPr="00BE6C99">
        <w:t>Please circle what year you are in and award you are applying for:</w:t>
      </w:r>
    </w:p>
    <w:p w:rsidR="00BE6C99" w:rsidRPr="00BE6C99" w:rsidRDefault="00BE6C99" w:rsidP="00BE6C99">
      <w:pPr>
        <w:spacing w:after="0" w:line="240" w:lineRule="auto"/>
        <w:rPr>
          <w:sz w:val="16"/>
          <w:szCs w:val="16"/>
        </w:rPr>
      </w:pPr>
    </w:p>
    <w:p w:rsidR="00FB217C" w:rsidRPr="00BE6C99" w:rsidRDefault="00FB217C" w:rsidP="00BE6C99">
      <w:pPr>
        <w:spacing w:after="0" w:line="240" w:lineRule="auto"/>
        <w:rPr>
          <w:b/>
        </w:rPr>
      </w:pPr>
      <w:r w:rsidRPr="00BE6C99">
        <w:rPr>
          <w:b/>
        </w:rPr>
        <w:t>Year 10: $100</w:t>
      </w:r>
      <w:r w:rsidRPr="00BE6C99">
        <w:rPr>
          <w:b/>
        </w:rPr>
        <w:tab/>
      </w:r>
      <w:r w:rsidRPr="00BE6C99">
        <w:rPr>
          <w:b/>
        </w:rPr>
        <w:tab/>
      </w:r>
      <w:r w:rsidRPr="00BE6C99">
        <w:rPr>
          <w:b/>
        </w:rPr>
        <w:tab/>
      </w:r>
      <w:r w:rsidRPr="00BE6C99">
        <w:rPr>
          <w:b/>
        </w:rPr>
        <w:tab/>
        <w:t>Year 11: $250</w:t>
      </w:r>
      <w:r w:rsidRPr="00BE6C99">
        <w:rPr>
          <w:b/>
        </w:rPr>
        <w:tab/>
      </w:r>
      <w:r w:rsidRPr="00BE6C99">
        <w:rPr>
          <w:b/>
        </w:rPr>
        <w:tab/>
      </w:r>
      <w:r w:rsidRPr="00BE6C99">
        <w:rPr>
          <w:b/>
        </w:rPr>
        <w:tab/>
      </w:r>
      <w:r w:rsidRPr="00BE6C99">
        <w:rPr>
          <w:b/>
        </w:rPr>
        <w:tab/>
        <w:t xml:space="preserve">Year 12: $500 </w:t>
      </w:r>
    </w:p>
    <w:p w:rsidR="00BE6C99" w:rsidRDefault="00BE6C99" w:rsidP="00BE6C99">
      <w:pPr>
        <w:spacing w:after="0" w:line="240" w:lineRule="auto"/>
      </w:pPr>
    </w:p>
    <w:p w:rsidR="00BE6C99" w:rsidRDefault="00BE6C99" w:rsidP="00BE6C99">
      <w:pPr>
        <w:spacing w:after="0" w:line="240" w:lineRule="auto"/>
      </w:pPr>
      <w:r>
        <w:t xml:space="preserve">In the space provided below, please describe how you meet the criteria for this award.  </w:t>
      </w:r>
      <w:r w:rsidR="00015489">
        <w:t xml:space="preserve">You may use more space if needed.  </w:t>
      </w:r>
      <w:r>
        <w:t xml:space="preserve">It is not necessary for applicants to meet all criteria.   You may wish to use the </w:t>
      </w:r>
      <w:r w:rsidRPr="00BE6C99">
        <w:rPr>
          <w:b/>
        </w:rPr>
        <w:t>Selection Criteria Chart</w:t>
      </w:r>
      <w:r>
        <w:t xml:space="preserve"> attached as a guide to assist you in completing your application.  </w:t>
      </w: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type id="_x0000_t202" coordsize="21600,21600" o:spt="202" path="m,l,21600r21600,l21600,xe">
            <v:stroke joinstyle="miter"/>
            <v:path gradientshapeok="t" o:connecttype="rect"/>
          </v:shapetype>
          <v:shape id="_x0000_s1027"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27">
              <w:txbxContent>
                <w:p w:rsidR="00BE6C99" w:rsidRPr="00BE6C99" w:rsidRDefault="00BE6C99" w:rsidP="00BE6C99">
                  <w:pPr>
                    <w:rPr>
                      <w:b/>
                    </w:rPr>
                  </w:pPr>
                  <w:r w:rsidRPr="00BE6C99">
                    <w:rPr>
                      <w:b/>
                    </w:rPr>
                    <w:t>Leadership</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29" type="#_x0000_t202" style="width:427.55pt;height:169.3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txbxContent>
            </v:textbox>
            <w10:wrap type="none"/>
            <w10:anchorlock/>
          </v:shape>
        </w:pict>
      </w:r>
    </w:p>
    <w:p w:rsidR="00BE6C99" w:rsidRDefault="00BE6C99" w:rsidP="00BE6C99">
      <w:pPr>
        <w:spacing w:after="0" w:line="240" w:lineRule="auto"/>
      </w:pPr>
    </w:p>
    <w:p w:rsidR="00483F4F" w:rsidRDefault="00483F4F" w:rsidP="00BE6C99">
      <w:pPr>
        <w:spacing w:after="0" w:line="240" w:lineRule="auto"/>
      </w:pPr>
    </w:p>
    <w:p w:rsidR="00BE6C99" w:rsidRDefault="00BE6C99" w:rsidP="00BE6C99">
      <w:pPr>
        <w:spacing w:after="0" w:line="240" w:lineRule="auto"/>
      </w:pPr>
      <w:r w:rsidRPr="00166762">
        <w:rPr>
          <w:noProof/>
          <w:lang w:val="en-US" w:eastAsia="zh-TW"/>
        </w:rPr>
      </w:r>
      <w:r>
        <w:pict>
          <v:shape id="_x0000_s1031"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31">
              <w:txbxContent>
                <w:p w:rsidR="00BE6C99" w:rsidRPr="00BE6C99" w:rsidRDefault="00015489" w:rsidP="00BE6C99">
                  <w:pPr>
                    <w:rPr>
                      <w:b/>
                    </w:rPr>
                  </w:pPr>
                  <w:r>
                    <w:rPr>
                      <w:b/>
                    </w:rPr>
                    <w:t>Teamwork</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32" type="#_x0000_t202" style="width:427.55pt;height:175.35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33"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33">
              <w:txbxContent>
                <w:p w:rsidR="00BE6C99" w:rsidRPr="00BE6C99" w:rsidRDefault="00015489" w:rsidP="00BE6C99">
                  <w:pPr>
                    <w:rPr>
                      <w:b/>
                    </w:rPr>
                  </w:pPr>
                  <w:r>
                    <w:rPr>
                      <w:b/>
                    </w:rPr>
                    <w:t>Values</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34" type="#_x0000_t202" style="width:427.55pt;height:181.45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35"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35">
              <w:txbxContent>
                <w:p w:rsidR="00BE6C99" w:rsidRPr="00BE6C99" w:rsidRDefault="00015489" w:rsidP="00BE6C99">
                  <w:pPr>
                    <w:rPr>
                      <w:b/>
                    </w:rPr>
                  </w:pPr>
                  <w:r>
                    <w:rPr>
                      <w:b/>
                    </w:rPr>
                    <w:t>Problem Solving</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36" type="#_x0000_t202" style="width:427.55pt;height:185.8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37"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37">
              <w:txbxContent>
                <w:p w:rsidR="00BE6C99" w:rsidRPr="00BE6C99" w:rsidRDefault="00015489" w:rsidP="00BE6C99">
                  <w:pPr>
                    <w:rPr>
                      <w:b/>
                    </w:rPr>
                  </w:pPr>
                  <w:r>
                    <w:rPr>
                      <w:b/>
                    </w:rPr>
                    <w:t>Resourcefulness</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38" type="#_x0000_t202" style="width:427.55pt;height:184.2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39"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39">
              <w:txbxContent>
                <w:p w:rsidR="00BE6C99" w:rsidRPr="00BE6C99" w:rsidRDefault="00015489" w:rsidP="00BE6C99">
                  <w:pPr>
                    <w:rPr>
                      <w:b/>
                    </w:rPr>
                  </w:pPr>
                  <w:r>
                    <w:rPr>
                      <w:b/>
                    </w:rPr>
                    <w:t>Communicator</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40" type="#_x0000_t202" style="width:427.55pt;height:173.3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41"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41">
              <w:txbxContent>
                <w:p w:rsidR="00BE6C99" w:rsidRPr="00BE6C99" w:rsidRDefault="00015489" w:rsidP="00BE6C99">
                  <w:pPr>
                    <w:rPr>
                      <w:b/>
                    </w:rPr>
                  </w:pPr>
                  <w:r>
                    <w:rPr>
                      <w:b/>
                    </w:rPr>
                    <w:t>Cooperation</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42" type="#_x0000_t202" style="width:427.55pt;height:190.7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015489" w:rsidRDefault="00015489" w:rsidP="00BE6C99">
      <w:pPr>
        <w:spacing w:after="0" w:line="240" w:lineRule="auto"/>
      </w:pPr>
    </w:p>
    <w:p w:rsidR="00BE6C99" w:rsidRDefault="00BE6C99" w:rsidP="00BE6C99">
      <w:pPr>
        <w:spacing w:after="0" w:line="240" w:lineRule="auto"/>
      </w:pPr>
      <w:r w:rsidRPr="00166762">
        <w:rPr>
          <w:noProof/>
          <w:lang w:val="en-US" w:eastAsia="zh-TW"/>
        </w:rPr>
      </w:r>
      <w:r>
        <w:pict>
          <v:shape id="_x0000_s1043"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43">
              <w:txbxContent>
                <w:p w:rsidR="00BE6C99" w:rsidRPr="00BE6C99" w:rsidRDefault="00015489" w:rsidP="00BE6C99">
                  <w:pPr>
                    <w:rPr>
                      <w:b/>
                    </w:rPr>
                  </w:pPr>
                  <w:r>
                    <w:rPr>
                      <w:b/>
                    </w:rPr>
                    <w:t>Community Involvement</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44" type="#_x0000_t202" style="width:427.55pt;height:191.1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BE6C99" w:rsidRDefault="00BE6C99" w:rsidP="00BE6C99">
      <w:pPr>
        <w:spacing w:after="0" w:line="240" w:lineRule="auto"/>
      </w:pPr>
    </w:p>
    <w:p w:rsidR="00BE6C99" w:rsidRDefault="00BE6C99" w:rsidP="00BE6C99">
      <w:pPr>
        <w:spacing w:after="0" w:line="240" w:lineRule="auto"/>
      </w:pPr>
    </w:p>
    <w:p w:rsidR="00BE6C99" w:rsidRDefault="00BE6C99" w:rsidP="00BE6C99">
      <w:pPr>
        <w:spacing w:after="0" w:line="240" w:lineRule="auto"/>
      </w:pPr>
      <w:r w:rsidRPr="00166762">
        <w:rPr>
          <w:noProof/>
          <w:lang w:val="en-US" w:eastAsia="zh-TW"/>
        </w:rPr>
      </w:r>
      <w:r>
        <w:pict>
          <v:shape id="_x0000_s1045" type="#_x0000_t202" style="width:427.55pt;height:21.15pt;mso-left-percent:-10001;mso-top-percent:-10001;mso-position-horizontal:absolute;mso-position-horizontal-relative:char;mso-position-vertical:absolute;mso-position-vertical-relative:line;mso-left-percent:-10001;mso-top-percent:-10001;mso-width-relative:margin;mso-height-relative:margin" fillcolor="#bfbfbf [2412]">
            <v:textbox style="mso-next-textbox:#_x0000_s1045">
              <w:txbxContent>
                <w:p w:rsidR="00BE6C99" w:rsidRPr="00BE6C99" w:rsidRDefault="00015489" w:rsidP="00BE6C99">
                  <w:pPr>
                    <w:rPr>
                      <w:b/>
                    </w:rPr>
                  </w:pPr>
                  <w:r>
                    <w:rPr>
                      <w:b/>
                    </w:rPr>
                    <w:t>Additional Information</w:t>
                  </w:r>
                </w:p>
              </w:txbxContent>
            </v:textbox>
            <w10:wrap type="none"/>
            <w10:anchorlock/>
          </v:shape>
        </w:pict>
      </w:r>
    </w:p>
    <w:p w:rsidR="00BE6C99" w:rsidRDefault="00BE6C99" w:rsidP="00BE6C99">
      <w:pPr>
        <w:spacing w:after="0" w:line="240" w:lineRule="auto"/>
      </w:pPr>
      <w:r w:rsidRPr="00166762">
        <w:rPr>
          <w:noProof/>
          <w:lang w:val="en-US" w:eastAsia="zh-TW"/>
        </w:rPr>
      </w:r>
      <w:r w:rsidR="00483F4F">
        <w:pict>
          <v:shape id="_x0000_s1046" type="#_x0000_t202" style="width:427.55pt;height:184.25pt;mso-left-percent:-10001;mso-top-percent:-10001;mso-position-horizontal:absolute;mso-position-horizontal-relative:char;mso-position-vertical:absolute;mso-position-vertical-relative:line;mso-left-percent:-10001;mso-top-percent:-10001;mso-width-relative:margin;mso-height-relative:margin">
            <v:textbox>
              <w:txbxContent>
                <w:p w:rsidR="00BE6C99" w:rsidRDefault="00BE6C99" w:rsidP="00BE6C99"/>
              </w:txbxContent>
            </v:textbox>
            <w10:wrap type="none"/>
            <w10:anchorlock/>
          </v:shape>
        </w:pict>
      </w:r>
    </w:p>
    <w:p w:rsidR="00015489" w:rsidRDefault="00015489" w:rsidP="00BE6C99">
      <w:pPr>
        <w:spacing w:after="0" w:line="240" w:lineRule="auto"/>
      </w:pPr>
    </w:p>
    <w:p w:rsidR="00015489" w:rsidRDefault="00015489" w:rsidP="00BE6C99">
      <w:pPr>
        <w:spacing w:after="0" w:line="240" w:lineRule="auto"/>
      </w:pPr>
    </w:p>
    <w:p w:rsidR="00015489" w:rsidRDefault="00015489" w:rsidP="00BE6C99">
      <w:pPr>
        <w:spacing w:after="0" w:line="240" w:lineRule="auto"/>
      </w:pPr>
      <w:r>
        <w:t xml:space="preserve">Please return completed applications to Mr. Fellows at the school or via email: </w:t>
      </w:r>
      <w:hyperlink r:id="rId7" w:history="1">
        <w:r w:rsidRPr="00EB4A0B">
          <w:rPr>
            <w:rStyle w:val="Hyperlink"/>
          </w:rPr>
          <w:t>david.fellows1@det.nsw.edu.au</w:t>
        </w:r>
      </w:hyperlink>
    </w:p>
    <w:p w:rsidR="00015489" w:rsidRDefault="00015489" w:rsidP="00BE6C99">
      <w:pPr>
        <w:spacing w:after="0" w:line="240" w:lineRule="auto"/>
      </w:pPr>
    </w:p>
    <w:sectPr w:rsidR="00015489" w:rsidSect="0051672C">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F4F" w:rsidRDefault="00483F4F" w:rsidP="00483F4F">
      <w:pPr>
        <w:spacing w:after="0" w:line="240" w:lineRule="auto"/>
      </w:pPr>
      <w:r>
        <w:separator/>
      </w:r>
    </w:p>
  </w:endnote>
  <w:endnote w:type="continuationSeparator" w:id="1">
    <w:p w:rsidR="00483F4F" w:rsidRDefault="00483F4F" w:rsidP="00483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49865"/>
      <w:docPartObj>
        <w:docPartGallery w:val="Page Numbers (Bottom of Page)"/>
        <w:docPartUnique/>
      </w:docPartObj>
    </w:sdtPr>
    <w:sdtContent>
      <w:p w:rsidR="00483F4F" w:rsidRDefault="00483F4F">
        <w:pPr>
          <w:pStyle w:val="Footer"/>
          <w:jc w:val="right"/>
        </w:pPr>
        <w:fldSimple w:instr=" PAGE   \* MERGEFORMAT ">
          <w:r>
            <w:rPr>
              <w:noProof/>
            </w:rPr>
            <w:t>4</w:t>
          </w:r>
        </w:fldSimple>
      </w:p>
    </w:sdtContent>
  </w:sdt>
  <w:p w:rsidR="00483F4F" w:rsidRDefault="00483F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F4F" w:rsidRDefault="00483F4F" w:rsidP="00483F4F">
      <w:pPr>
        <w:spacing w:after="0" w:line="240" w:lineRule="auto"/>
      </w:pPr>
      <w:r>
        <w:separator/>
      </w:r>
    </w:p>
  </w:footnote>
  <w:footnote w:type="continuationSeparator" w:id="1">
    <w:p w:rsidR="00483F4F" w:rsidRDefault="00483F4F" w:rsidP="00483F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63298"/>
    <w:multiLevelType w:val="hybridMultilevel"/>
    <w:tmpl w:val="7D685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characterSpacingControl w:val="doNotCompress"/>
  <w:footnotePr>
    <w:footnote w:id="0"/>
    <w:footnote w:id="1"/>
  </w:footnotePr>
  <w:endnotePr>
    <w:endnote w:id="0"/>
    <w:endnote w:id="1"/>
  </w:endnotePr>
  <w:compat/>
  <w:rsids>
    <w:rsidRoot w:val="00FB217C"/>
    <w:rsid w:val="000053C3"/>
    <w:rsid w:val="00013201"/>
    <w:rsid w:val="00015489"/>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24DE"/>
    <w:rsid w:val="000832F6"/>
    <w:rsid w:val="000845D2"/>
    <w:rsid w:val="00095A03"/>
    <w:rsid w:val="000A7532"/>
    <w:rsid w:val="000B11C0"/>
    <w:rsid w:val="000B186B"/>
    <w:rsid w:val="000B21F4"/>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1BDB"/>
    <w:rsid w:val="001B204F"/>
    <w:rsid w:val="001B3646"/>
    <w:rsid w:val="001C0D9E"/>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926"/>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1474"/>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83F4F"/>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556F8"/>
    <w:rsid w:val="00663073"/>
    <w:rsid w:val="00663EC2"/>
    <w:rsid w:val="0066444A"/>
    <w:rsid w:val="0067055F"/>
    <w:rsid w:val="00672EB6"/>
    <w:rsid w:val="00682B17"/>
    <w:rsid w:val="00683F97"/>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134EC"/>
    <w:rsid w:val="00715B05"/>
    <w:rsid w:val="00717D9F"/>
    <w:rsid w:val="007211BE"/>
    <w:rsid w:val="00721A02"/>
    <w:rsid w:val="00723FC3"/>
    <w:rsid w:val="00727617"/>
    <w:rsid w:val="00730538"/>
    <w:rsid w:val="00732231"/>
    <w:rsid w:val="00736555"/>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2FB3"/>
    <w:rsid w:val="007F4BE2"/>
    <w:rsid w:val="007F6CF7"/>
    <w:rsid w:val="008036FC"/>
    <w:rsid w:val="008157EA"/>
    <w:rsid w:val="00815D98"/>
    <w:rsid w:val="00817B71"/>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9703F"/>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6C99"/>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77E"/>
    <w:rsid w:val="00DB73E4"/>
    <w:rsid w:val="00DC0059"/>
    <w:rsid w:val="00DC1071"/>
    <w:rsid w:val="00DC4A35"/>
    <w:rsid w:val="00DC7413"/>
    <w:rsid w:val="00DD6088"/>
    <w:rsid w:val="00DD61AC"/>
    <w:rsid w:val="00DE4FA0"/>
    <w:rsid w:val="00DE610C"/>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D07C6"/>
    <w:rsid w:val="00EE4A32"/>
    <w:rsid w:val="00EE5A13"/>
    <w:rsid w:val="00EF16A6"/>
    <w:rsid w:val="00F00FF7"/>
    <w:rsid w:val="00F01F99"/>
    <w:rsid w:val="00F02D4A"/>
    <w:rsid w:val="00F14EB5"/>
    <w:rsid w:val="00F24B02"/>
    <w:rsid w:val="00F31259"/>
    <w:rsid w:val="00F31F6D"/>
    <w:rsid w:val="00F324F4"/>
    <w:rsid w:val="00F33123"/>
    <w:rsid w:val="00F37D28"/>
    <w:rsid w:val="00F42074"/>
    <w:rsid w:val="00F50370"/>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217C"/>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646"/>
    <w:pPr>
      <w:ind w:left="720"/>
      <w:contextualSpacing/>
    </w:pPr>
  </w:style>
  <w:style w:type="paragraph" w:styleId="BalloonText">
    <w:name w:val="Balloon Text"/>
    <w:basedOn w:val="Normal"/>
    <w:link w:val="BalloonTextChar"/>
    <w:uiPriority w:val="99"/>
    <w:semiHidden/>
    <w:unhideWhenUsed/>
    <w:rsid w:val="00BE6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C99"/>
    <w:rPr>
      <w:rFonts w:ascii="Tahoma" w:hAnsi="Tahoma" w:cs="Tahoma"/>
      <w:sz w:val="16"/>
      <w:szCs w:val="16"/>
    </w:rPr>
  </w:style>
  <w:style w:type="character" w:styleId="Hyperlink">
    <w:name w:val="Hyperlink"/>
    <w:basedOn w:val="DefaultParagraphFont"/>
    <w:uiPriority w:val="99"/>
    <w:unhideWhenUsed/>
    <w:rsid w:val="00015489"/>
    <w:rPr>
      <w:color w:val="0000FF" w:themeColor="hyperlink"/>
      <w:u w:val="single"/>
    </w:rPr>
  </w:style>
  <w:style w:type="paragraph" w:styleId="Header">
    <w:name w:val="header"/>
    <w:basedOn w:val="Normal"/>
    <w:link w:val="HeaderChar"/>
    <w:uiPriority w:val="99"/>
    <w:semiHidden/>
    <w:unhideWhenUsed/>
    <w:rsid w:val="00483F4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3F4F"/>
  </w:style>
  <w:style w:type="paragraph" w:styleId="Footer">
    <w:name w:val="footer"/>
    <w:basedOn w:val="Normal"/>
    <w:link w:val="FooterChar"/>
    <w:uiPriority w:val="99"/>
    <w:unhideWhenUsed/>
    <w:rsid w:val="00483F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3F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vid.fellows1@det.ns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418D"/>
    <w:rsid w:val="0014418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272EC296424817A6D6200C160E66E1">
    <w:name w:val="F6272EC296424817A6D6200C160E66E1"/>
    <w:rsid w:val="0014418D"/>
  </w:style>
  <w:style w:type="paragraph" w:customStyle="1" w:styleId="7DC7B152325D4ABF895C6BC2887B330F">
    <w:name w:val="7DC7B152325D4ABF895C6BC2887B330F"/>
    <w:rsid w:val="0014418D"/>
  </w:style>
  <w:style w:type="paragraph" w:customStyle="1" w:styleId="8AF35FFAC3B14CE5B89CE2126AB114E0">
    <w:name w:val="8AF35FFAC3B14CE5B89CE2126AB114E0"/>
    <w:rsid w:val="001441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4</cp:revision>
  <cp:lastPrinted>2011-07-29T04:49:00Z</cp:lastPrinted>
  <dcterms:created xsi:type="dcterms:W3CDTF">2011-07-29T04:39:00Z</dcterms:created>
  <dcterms:modified xsi:type="dcterms:W3CDTF">2011-07-29T04:50:00Z</dcterms:modified>
</cp:coreProperties>
</file>